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b/>
          <w:bCs/>
          <w:color w:val="000000"/>
        </w:rPr>
        <w:t>Урок № 42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b/>
          <w:bCs/>
          <w:color w:val="000000"/>
        </w:rPr>
        <w:t>Тема. ПІВНІЧНА АМЕРИКА. ЗАГАЛЬНІ ВІДОМОСТІ. СВОЄРІДНІСТЬ ПРИРОДИ МАТЕРИКА, ПОВ’ЯЗАНА З ЙОГО ГЕОГРАФІЧНИМ ПОЛОЖЕННЯМ.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b/>
          <w:bCs/>
          <w:color w:val="000000"/>
        </w:rPr>
        <w:t>ІСТОРІЯ ВІДКРИТТЯ ТА ОСВОЄННЯ ПІВНІЧНОЇ АМЕРИКИ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 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Мета: сприяти засвоєнню знань про основні риси географічного положення Північної Америки, удосконалювати роботу учнів з картами, вчити аналізувати, робити висновки, розширювати кругозір дітей щодо історії відкриття та освоєння материка, зацікавити темою, розвивати вміння працювати в колективі, працювати з тематичними картами; розвивати пізнавальний інтерес, творче мислення, виховувати культуру спілкування, самостійність.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Тип уроку: вивчення нового матеріалу.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Обладнання: атласи, фізична карта півкуль, контурні карти, набір картин з курсу «Географія материків та океанів», портрети дослідників, підручник, слайди для </w:t>
      </w:r>
      <w:proofErr w:type="spellStart"/>
      <w:r w:rsidRPr="00DA50C3">
        <w:rPr>
          <w:rFonts w:ascii="Verdana" w:hAnsi="Verdana" w:cs="Times New Roman"/>
          <w:color w:val="000000"/>
        </w:rPr>
        <w:t>мультимедійної</w:t>
      </w:r>
      <w:proofErr w:type="spellEnd"/>
      <w:r w:rsidRPr="00DA50C3">
        <w:rPr>
          <w:rFonts w:ascii="Verdana" w:hAnsi="Verdana" w:cs="Times New Roman"/>
          <w:color w:val="000000"/>
        </w:rPr>
        <w:t xml:space="preserve"> дошки, план вивчення материка, план характеристики географічного положення в довіднику учня.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Опорні та базові поняття: материк, географічні координати, особливості природи, пов’язані з ФГП материка.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Географічна номенклатура: миси: </w:t>
      </w:r>
      <w:proofErr w:type="spellStart"/>
      <w:r w:rsidRPr="00DA50C3">
        <w:rPr>
          <w:rFonts w:ascii="Verdana" w:hAnsi="Verdana" w:cs="Times New Roman"/>
          <w:color w:val="000000"/>
        </w:rPr>
        <w:t>Мерчісон</w:t>
      </w:r>
      <w:proofErr w:type="spellEnd"/>
      <w:r w:rsidRPr="00DA50C3">
        <w:rPr>
          <w:rFonts w:ascii="Verdana" w:hAnsi="Verdana" w:cs="Times New Roman"/>
          <w:color w:val="000000"/>
        </w:rPr>
        <w:t xml:space="preserve">, </w:t>
      </w:r>
      <w:proofErr w:type="spellStart"/>
      <w:r w:rsidRPr="00DA50C3">
        <w:rPr>
          <w:rFonts w:ascii="Verdana" w:hAnsi="Verdana" w:cs="Times New Roman"/>
          <w:color w:val="000000"/>
        </w:rPr>
        <w:t>Мар’ято</w:t>
      </w:r>
      <w:proofErr w:type="spellEnd"/>
      <w:r w:rsidRPr="00DA50C3">
        <w:rPr>
          <w:rFonts w:ascii="Verdana" w:hAnsi="Verdana" w:cs="Times New Roman"/>
          <w:color w:val="000000"/>
        </w:rPr>
        <w:t xml:space="preserve">, Принца Уельського, </w:t>
      </w:r>
      <w:proofErr w:type="spellStart"/>
      <w:r w:rsidRPr="00DA50C3">
        <w:rPr>
          <w:rFonts w:ascii="Verdana" w:hAnsi="Verdana" w:cs="Times New Roman"/>
          <w:color w:val="000000"/>
        </w:rPr>
        <w:t>Сент-Чарльз</w:t>
      </w:r>
      <w:proofErr w:type="spellEnd"/>
      <w:r w:rsidRPr="00DA50C3">
        <w:rPr>
          <w:rFonts w:ascii="Verdana" w:hAnsi="Verdana" w:cs="Times New Roman"/>
          <w:color w:val="000000"/>
        </w:rPr>
        <w:t xml:space="preserve">; затоки: Гудзонова, Мексиканська, Аляска; острови: Ґренландія, Ньюфаундленд, Великі Антильські (Куба, Гаїті, Ямайка), Малі Антильські, Канадський Арктичний архіпелаг; півострови: Лабрадор, </w:t>
      </w:r>
      <w:proofErr w:type="spellStart"/>
      <w:r w:rsidRPr="00DA50C3">
        <w:rPr>
          <w:rFonts w:ascii="Verdana" w:hAnsi="Verdana" w:cs="Times New Roman"/>
          <w:color w:val="000000"/>
        </w:rPr>
        <w:t>Флоріда</w:t>
      </w:r>
      <w:proofErr w:type="spellEnd"/>
      <w:r w:rsidRPr="00DA50C3">
        <w:rPr>
          <w:rFonts w:ascii="Verdana" w:hAnsi="Verdana" w:cs="Times New Roman"/>
          <w:color w:val="000000"/>
        </w:rPr>
        <w:t xml:space="preserve">, Каліфорнія, Аляска, </w:t>
      </w:r>
      <w:proofErr w:type="spellStart"/>
      <w:r w:rsidRPr="00DA50C3">
        <w:rPr>
          <w:rFonts w:ascii="Verdana" w:hAnsi="Verdana" w:cs="Times New Roman"/>
          <w:color w:val="000000"/>
        </w:rPr>
        <w:t>Юкатан</w:t>
      </w:r>
      <w:proofErr w:type="spellEnd"/>
      <w:r w:rsidRPr="00DA50C3">
        <w:rPr>
          <w:rFonts w:ascii="Verdana" w:hAnsi="Verdana" w:cs="Times New Roman"/>
          <w:color w:val="000000"/>
        </w:rPr>
        <w:t xml:space="preserve">, течії: </w:t>
      </w:r>
      <w:proofErr w:type="spellStart"/>
      <w:r w:rsidRPr="00DA50C3">
        <w:rPr>
          <w:rFonts w:ascii="Verdana" w:hAnsi="Verdana" w:cs="Times New Roman"/>
          <w:color w:val="000000"/>
        </w:rPr>
        <w:t>Ґольфстрім</w:t>
      </w:r>
      <w:proofErr w:type="spellEnd"/>
      <w:r w:rsidRPr="00DA50C3">
        <w:rPr>
          <w:rFonts w:ascii="Verdana" w:hAnsi="Verdana" w:cs="Times New Roman"/>
          <w:color w:val="000000"/>
        </w:rPr>
        <w:t xml:space="preserve">, Каліфорнійська, </w:t>
      </w:r>
      <w:proofErr w:type="spellStart"/>
      <w:r w:rsidRPr="00DA50C3">
        <w:rPr>
          <w:rFonts w:ascii="Verdana" w:hAnsi="Verdana" w:cs="Times New Roman"/>
          <w:color w:val="000000"/>
        </w:rPr>
        <w:t>Північно-Тихоокеанська</w:t>
      </w:r>
      <w:proofErr w:type="spellEnd"/>
      <w:r w:rsidRPr="00DA50C3">
        <w:rPr>
          <w:rFonts w:ascii="Verdana" w:hAnsi="Verdana" w:cs="Times New Roman"/>
          <w:color w:val="000000"/>
        </w:rPr>
        <w:t>, Лабрадорська.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378"/>
      <w:r w:rsidRPr="00DA50C3">
        <w:rPr>
          <w:rFonts w:ascii="Calibri" w:hAnsi="Calibri" w:cs="Times New Roman"/>
          <w:color w:val="000000"/>
        </w:rPr>
        <w:t>ЗМІСТ УРОКУ</w:t>
      </w:r>
      <w:bookmarkEnd w:id="0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I. Організаційний момент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Перевірка присутності учнів, їх підготовки до уроку, організація уваги учнів, психологічний настрій на роботу.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379"/>
      <w:r w:rsidRPr="00DA50C3">
        <w:rPr>
          <w:rFonts w:ascii="Calibri" w:hAnsi="Calibri" w:cs="Times New Roman"/>
          <w:color w:val="000000"/>
        </w:rPr>
        <w:t> </w:t>
      </w:r>
      <w:bookmarkEnd w:id="1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  <w:lang w:val="en-US"/>
        </w:rPr>
        <w:t>II</w:t>
      </w:r>
      <w:r w:rsidRPr="00DA50C3">
        <w:rPr>
          <w:rFonts w:ascii="Verdana" w:hAnsi="Verdana" w:cs="Times New Roman"/>
          <w:color w:val="000000"/>
        </w:rPr>
        <w:t xml:space="preserve">. Актуалізація опорних знань і </w:t>
      </w:r>
      <w:proofErr w:type="spellStart"/>
      <w:r w:rsidRPr="00DA50C3">
        <w:rPr>
          <w:rFonts w:ascii="Verdana" w:hAnsi="Verdana" w:cs="Times New Roman"/>
          <w:color w:val="000000"/>
        </w:rPr>
        <w:t>вмінь</w:t>
      </w:r>
      <w:proofErr w:type="spellEnd"/>
      <w:r w:rsidRPr="00DA50C3">
        <w:rPr>
          <w:rFonts w:ascii="Verdana" w:hAnsi="Verdana" w:cs="Times New Roman"/>
          <w:color w:val="000000"/>
        </w:rPr>
        <w:t xml:space="preserve"> учнів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Об’єднання учнів у групи по 4-5 чоловік.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Прийом «Шукай асоціації»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lastRenderedPageBreak/>
        <w:t>Роздаються картки. На відповідь відводиться 2 хв.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2681"/>
        <w:gridCol w:w="2296"/>
        <w:gridCol w:w="2009"/>
      </w:tblGrid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Вогняна Земля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Маракайбо</w:t>
            </w:r>
            <w:proofErr w:type="spellEnd"/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Аконкаґуа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Парамос</w:t>
            </w:r>
            <w:proofErr w:type="spellEnd"/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Христофор Колумб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Фроуерд</w:t>
            </w:r>
            <w:proofErr w:type="spellEnd"/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Гумбольдт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 xml:space="preserve">хвиля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амазуну</w:t>
            </w:r>
            <w:proofErr w:type="spellEnd"/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 xml:space="preserve">м.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Ґальїнас</w:t>
            </w:r>
            <w:proofErr w:type="spellEnd"/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Сельва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Льянос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Атакама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Пампа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Котопахі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«Сяюча гора»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Тітікака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«Мідні гори»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Памперо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Горн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Ґвіанське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... ?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Ісалько</w:t>
            </w:r>
            <w:proofErr w:type="spellEnd"/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?... Дрейка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Ла-Плата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«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Бігль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»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Ігуасу</w:t>
            </w:r>
            <w:proofErr w:type="spellEnd"/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380"/>
      <w:r w:rsidRPr="00DA50C3">
        <w:rPr>
          <w:rFonts w:ascii="Calibri" w:hAnsi="Calibri" w:cs="Times New Roman"/>
          <w:color w:val="000000"/>
        </w:rPr>
        <w:t> </w:t>
      </w:r>
      <w:bookmarkEnd w:id="2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ІІІ. Мотивація навчальної та пізнавальної діяльності учнів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381"/>
      <w:r w:rsidRPr="00DA50C3">
        <w:rPr>
          <w:rFonts w:ascii="Calibri" w:hAnsi="Calibri" w:cs="Times New Roman"/>
          <w:color w:val="000000"/>
        </w:rPr>
        <w:t>1. Гра «Пляшкова пошта»</w:t>
      </w:r>
      <w:bookmarkEnd w:id="3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Дати можливість учням самостійно визначити назву материка, який буде вивчатися.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Чотири групи отримують пошту, яку дістають з пляшок.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2393"/>
        <w:gridCol w:w="2488"/>
        <w:gridCol w:w="2105"/>
      </w:tblGrid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  <w:lang w:val="en-US"/>
              </w:rPr>
              <w:t>SOS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  <w:lang w:val="en-US"/>
              </w:rPr>
              <w:t>SOS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  <w:lang w:val="en-US"/>
              </w:rPr>
              <w:t>SOS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  <w:lang w:val="en-US"/>
              </w:rPr>
              <w:t>SOS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7°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пн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ш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;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81°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зх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. д.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72°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пн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ш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;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95°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зх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. д.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65°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пн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ш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168°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зх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. д.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52°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пн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56°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зх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. д.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 xml:space="preserve">(м.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Ма’рято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 xml:space="preserve">(м.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Мерчісон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)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(м. Принца Уельського)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 xml:space="preserve">(м. </w:t>
            </w:r>
            <w:proofErr w:type="spellStart"/>
            <w:r w:rsidRPr="00DA50C3">
              <w:rPr>
                <w:rFonts w:ascii="Verdana" w:hAnsi="Verdana" w:cs="Times New Roman"/>
                <w:color w:val="000000"/>
              </w:rPr>
              <w:t>Сент-Чарльз</w:t>
            </w:r>
            <w:proofErr w:type="spellEnd"/>
            <w:r w:rsidRPr="00DA50C3">
              <w:rPr>
                <w:rFonts w:ascii="Verdana" w:hAnsi="Verdana" w:cs="Times New Roman"/>
                <w:color w:val="000000"/>
              </w:rPr>
              <w:t>)</w:t>
            </w:r>
          </w:p>
        </w:tc>
      </w:tr>
    </w:tbl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382"/>
      <w:r w:rsidRPr="00DA50C3">
        <w:rPr>
          <w:rFonts w:ascii="Calibri" w:hAnsi="Calibri" w:cs="Times New Roman"/>
          <w:color w:val="000000"/>
        </w:rPr>
        <w:t> </w:t>
      </w:r>
      <w:bookmarkEnd w:id="4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2. Прийом «Здивую всіх»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Учитель. Отже, ми починаємо вивчати материк — Північна Америка.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Саме тут можна зустріти географічні дива та парадокси. Острів Ґренландія — «зелена земля», а насправді вкрита шаром льоду до 3400 м, океан з обманливою назвою Тихий, Алеутські о-ви, назва яких перекладається «в чому справа?» Тут можуть дно залишкових озер використовувати як аеродром для надзвукових літаків.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383"/>
      <w:r w:rsidRPr="00DA50C3">
        <w:rPr>
          <w:rFonts w:ascii="Calibri" w:hAnsi="Calibri" w:cs="Times New Roman"/>
          <w:color w:val="000000"/>
        </w:rPr>
        <w:t> </w:t>
      </w:r>
      <w:bookmarkEnd w:id="5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IV. Вивчення нового матеріалу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384"/>
      <w:r w:rsidRPr="00DA50C3">
        <w:rPr>
          <w:rFonts w:ascii="Calibri" w:hAnsi="Calibri" w:cs="Times New Roman"/>
          <w:color w:val="000000"/>
        </w:rPr>
        <w:t>1. Прийом «Географічна лабораторія»</w:t>
      </w:r>
      <w:bookmarkEnd w:id="6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План характеристики материка і його ФГП (робота з довідником учня). Учні дають самостійно оцінку ФГП Північної Америки (робота з атласами).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385"/>
      <w:r w:rsidRPr="00DA50C3">
        <w:rPr>
          <w:rFonts w:ascii="Calibri" w:hAnsi="Calibri" w:cs="Times New Roman"/>
          <w:color w:val="000000"/>
          <w:lang w:val="uz-Cyrl-UZ"/>
        </w:rPr>
        <w:t>2. </w:t>
      </w:r>
      <w:bookmarkEnd w:id="7"/>
      <w:r w:rsidRPr="00DA50C3">
        <w:rPr>
          <w:rFonts w:ascii="Verdana" w:hAnsi="Verdana" w:cs="Times New Roman"/>
          <w:color w:val="000000"/>
        </w:rPr>
        <w:t>Прийом «Шпаргалка»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Вчитель на дошці складає картосхему. Учні на контурних картах наводять основні лінії, що характеризують географічне положення: екватор, нульовий меридіан, тропік, полярне коло. Підписують назви океанів, морів, течій, крайні точки, острови, дають характеристику берегової лінії. Таким чином, особливості ФГП материка проговорюються двічі. В кінці цього етапу робиться висновок, що на відміну від материків тропічних широт Північна Америка розташована у Північній півкулі.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386"/>
      <w:r w:rsidRPr="00DA50C3">
        <w:rPr>
          <w:rFonts w:ascii="Calibri" w:hAnsi="Calibri" w:cs="Times New Roman"/>
          <w:color w:val="000000"/>
        </w:rPr>
        <w:t>3. Прийом «Проблемне питання»</w:t>
      </w:r>
      <w:bookmarkEnd w:id="8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1) Користуючись картою, доведіть, що Північна Америка має велику протяжність з півночі на південь (від </w:t>
      </w:r>
      <w:proofErr w:type="spellStart"/>
      <w:r w:rsidRPr="00DA50C3">
        <w:rPr>
          <w:rFonts w:ascii="Verdana" w:hAnsi="Verdana" w:cs="Times New Roman"/>
          <w:color w:val="000000"/>
        </w:rPr>
        <w:t>72°</w:t>
      </w:r>
      <w:proofErr w:type="spellEnd"/>
      <w:r w:rsidRPr="00DA50C3">
        <w:rPr>
          <w:rFonts w:ascii="Verdana" w:hAnsi="Verdana" w:cs="Times New Roman"/>
          <w:color w:val="000000"/>
        </w:rPr>
        <w:t xml:space="preserve"> </w:t>
      </w:r>
      <w:proofErr w:type="spellStart"/>
      <w:r w:rsidRPr="00DA50C3">
        <w:rPr>
          <w:rFonts w:ascii="Verdana" w:hAnsi="Verdana" w:cs="Times New Roman"/>
          <w:color w:val="000000"/>
        </w:rPr>
        <w:t>пн</w:t>
      </w:r>
      <w:proofErr w:type="spellEnd"/>
      <w:r w:rsidRPr="00DA50C3">
        <w:rPr>
          <w:rFonts w:ascii="Verdana" w:hAnsi="Verdana" w:cs="Times New Roman"/>
          <w:color w:val="000000"/>
        </w:rPr>
        <w:t xml:space="preserve">. </w:t>
      </w:r>
      <w:proofErr w:type="spellStart"/>
      <w:r w:rsidRPr="00DA50C3">
        <w:rPr>
          <w:rFonts w:ascii="Verdana" w:hAnsi="Verdana" w:cs="Times New Roman"/>
          <w:color w:val="000000"/>
        </w:rPr>
        <w:t>ш</w:t>
      </w:r>
      <w:proofErr w:type="spellEnd"/>
      <w:r w:rsidRPr="00DA50C3">
        <w:rPr>
          <w:rFonts w:ascii="Verdana" w:hAnsi="Verdana" w:cs="Times New Roman"/>
          <w:color w:val="000000"/>
        </w:rPr>
        <w:t xml:space="preserve"> до </w:t>
      </w:r>
      <w:proofErr w:type="spellStart"/>
      <w:r w:rsidRPr="00DA50C3">
        <w:rPr>
          <w:rFonts w:ascii="Verdana" w:hAnsi="Verdana" w:cs="Times New Roman"/>
          <w:color w:val="000000"/>
        </w:rPr>
        <w:t>7°</w:t>
      </w:r>
      <w:proofErr w:type="spellEnd"/>
      <w:r w:rsidRPr="00DA50C3">
        <w:rPr>
          <w:rFonts w:ascii="Verdana" w:hAnsi="Verdana" w:cs="Times New Roman"/>
          <w:color w:val="000000"/>
        </w:rPr>
        <w:t xml:space="preserve"> </w:t>
      </w:r>
      <w:proofErr w:type="spellStart"/>
      <w:r w:rsidRPr="00DA50C3">
        <w:rPr>
          <w:rFonts w:ascii="Verdana" w:hAnsi="Verdana" w:cs="Times New Roman"/>
          <w:color w:val="000000"/>
        </w:rPr>
        <w:t>пн</w:t>
      </w:r>
      <w:proofErr w:type="spellEnd"/>
      <w:r w:rsidRPr="00DA50C3">
        <w:rPr>
          <w:rFonts w:ascii="Verdana" w:hAnsi="Verdana" w:cs="Times New Roman"/>
          <w:color w:val="000000"/>
        </w:rPr>
        <w:t xml:space="preserve">. </w:t>
      </w:r>
      <w:proofErr w:type="spellStart"/>
      <w:r w:rsidRPr="00DA50C3">
        <w:rPr>
          <w:rFonts w:ascii="Verdana" w:hAnsi="Verdana" w:cs="Times New Roman"/>
          <w:color w:val="000000"/>
        </w:rPr>
        <w:t>ш</w:t>
      </w:r>
      <w:proofErr w:type="spellEnd"/>
      <w:r w:rsidRPr="00DA50C3">
        <w:rPr>
          <w:rFonts w:ascii="Verdana" w:hAnsi="Verdana" w:cs="Times New Roman"/>
          <w:color w:val="000000"/>
        </w:rPr>
        <w:t>.) Висновок — перетинає всі географічні пояси, крім екваторіального.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2) У яких широтах має більшу протяжність із заходу на схід?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3) Роль холодних і теплих течій. (Розповідь про течії: </w:t>
      </w:r>
      <w:proofErr w:type="spellStart"/>
      <w:r w:rsidRPr="00DA50C3">
        <w:rPr>
          <w:rFonts w:ascii="Verdana" w:hAnsi="Verdana" w:cs="Times New Roman"/>
          <w:color w:val="000000"/>
        </w:rPr>
        <w:t>Аляскінська</w:t>
      </w:r>
      <w:proofErr w:type="spellEnd"/>
      <w:r w:rsidRPr="00DA50C3">
        <w:rPr>
          <w:rFonts w:ascii="Verdana" w:hAnsi="Verdana" w:cs="Times New Roman"/>
          <w:color w:val="000000"/>
        </w:rPr>
        <w:t xml:space="preserve">, Каліфорнійська, Лабрадор, </w:t>
      </w:r>
      <w:proofErr w:type="spellStart"/>
      <w:r w:rsidRPr="00DA50C3">
        <w:rPr>
          <w:rFonts w:ascii="Verdana" w:hAnsi="Verdana" w:cs="Times New Roman"/>
          <w:color w:val="000000"/>
        </w:rPr>
        <w:t>Ґольфстрім</w:t>
      </w:r>
      <w:proofErr w:type="spellEnd"/>
      <w:r w:rsidRPr="00DA50C3">
        <w:rPr>
          <w:rFonts w:ascii="Verdana" w:hAnsi="Verdana" w:cs="Times New Roman"/>
          <w:color w:val="000000"/>
        </w:rPr>
        <w:t>.)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9" w:name="bookmark387"/>
      <w:r w:rsidRPr="00DA50C3">
        <w:rPr>
          <w:rFonts w:ascii="Calibri" w:hAnsi="Calibri" w:cs="Times New Roman"/>
          <w:color w:val="000000"/>
        </w:rPr>
        <w:t>4. Прийом «Творча лабораторія»</w:t>
      </w:r>
      <w:bookmarkEnd w:id="9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Робота з таблицею «Відкриття та дослідження Північної Америки».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4"/>
        <w:gridCol w:w="2559"/>
        <w:gridCol w:w="4736"/>
      </w:tblGrid>
      <w:tr w:rsidR="00DA50C3" w:rsidRPr="00DA50C3" w:rsidTr="00DA50C3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Час дослідження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Дослідники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Результати досліджень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DA50C3" w:rsidRPr="00DA50C3" w:rsidTr="00DA50C3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50C3" w:rsidRPr="00DA50C3" w:rsidRDefault="00DA50C3" w:rsidP="00DA50C3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DA50C3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0" w:name="bookmark388"/>
      <w:r w:rsidRPr="00DA50C3">
        <w:rPr>
          <w:rFonts w:ascii="Calibri" w:hAnsi="Calibri" w:cs="Times New Roman"/>
          <w:color w:val="000000"/>
        </w:rPr>
        <w:t> </w:t>
      </w:r>
      <w:bookmarkEnd w:id="10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  <w:lang w:val="en-US"/>
        </w:rPr>
        <w:t>V</w:t>
      </w:r>
      <w:r w:rsidRPr="00DA50C3">
        <w:rPr>
          <w:rFonts w:ascii="Verdana" w:hAnsi="Verdana" w:cs="Times New Roman"/>
          <w:color w:val="000000"/>
          <w:lang w:val="uz-Cyrl-UZ"/>
        </w:rPr>
        <w:t>. </w:t>
      </w:r>
      <w:r w:rsidRPr="00DA50C3">
        <w:rPr>
          <w:rFonts w:ascii="Verdana" w:hAnsi="Verdana" w:cs="Times New Roman"/>
          <w:color w:val="000000"/>
        </w:rPr>
        <w:t>Закріплення вивченого матеріалу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1" w:name="bookmark389"/>
      <w:r w:rsidRPr="00DA50C3">
        <w:rPr>
          <w:rFonts w:ascii="Calibri" w:hAnsi="Calibri" w:cs="Times New Roman"/>
          <w:color w:val="000000"/>
        </w:rPr>
        <w:t>1. Прийом «Мозковий штурм»</w:t>
      </w:r>
      <w:bookmarkEnd w:id="11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Чим відрізняється фізико-географічне положення Північної Америки від фізико-географічного положення інших, уже вивчених нами материків?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2" w:name="bookmark390"/>
      <w:r w:rsidRPr="00DA50C3">
        <w:rPr>
          <w:rFonts w:ascii="Calibri" w:hAnsi="Calibri" w:cs="Times New Roman"/>
          <w:color w:val="000000"/>
        </w:rPr>
        <w:t>2. Гра «Продовж речення»</w:t>
      </w:r>
      <w:bookmarkEnd w:id="12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Першими дослідниками Північної Америки були  ___________________________________________.    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Північна Америка розташована у ___________________ півкулі.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Площа материка становить ________________________        і за розмірами він займає _________________________ місце.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Має велику протяжність з _________________________, що впливає на _____________________ материка. Омивається ______________________________ океанами.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Межує з материками ______________________________________________.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Берегова лінія материка _______________________________________.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3" w:name="bookmark391"/>
      <w:r w:rsidRPr="00DA50C3">
        <w:rPr>
          <w:rFonts w:ascii="Calibri" w:hAnsi="Calibri" w:cs="Times New Roman"/>
          <w:color w:val="000000"/>
        </w:rPr>
        <w:t> </w:t>
      </w:r>
      <w:bookmarkEnd w:id="13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VI. Підсумок уроку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Оцінювання учнів.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4" w:name="bookmark392"/>
      <w:r w:rsidRPr="00DA50C3">
        <w:rPr>
          <w:rFonts w:ascii="Calibri" w:hAnsi="Calibri" w:cs="Times New Roman"/>
          <w:color w:val="000000"/>
        </w:rPr>
        <w:t> </w:t>
      </w:r>
      <w:bookmarkEnd w:id="14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VII. Домашнє завдання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Опрацювати відповідний матеріал підручника.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Закінчити роботу в контурних картах.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• Скласти картки-листки з топонімічними помилками «Неуважний мандрівник».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5" w:name="bookmark393"/>
      <w:r w:rsidRPr="00DA50C3">
        <w:rPr>
          <w:rFonts w:ascii="Calibri" w:hAnsi="Calibri" w:cs="Times New Roman"/>
          <w:color w:val="000000"/>
        </w:rPr>
        <w:t> </w:t>
      </w:r>
      <w:bookmarkEnd w:id="15"/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Додатковий матеріал до уроку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Можна використати книгу «Сага о </w:t>
      </w:r>
      <w:proofErr w:type="spellStart"/>
      <w:r w:rsidRPr="00DA50C3">
        <w:rPr>
          <w:rFonts w:ascii="Verdana" w:hAnsi="Verdana" w:cs="Times New Roman"/>
          <w:color w:val="000000"/>
        </w:rPr>
        <w:t>ґренландцах</w:t>
      </w:r>
      <w:proofErr w:type="spellEnd"/>
      <w:r w:rsidRPr="00DA50C3">
        <w:rPr>
          <w:rFonts w:ascii="Verdana" w:hAnsi="Verdana" w:cs="Times New Roman"/>
          <w:color w:val="000000"/>
        </w:rPr>
        <w:t xml:space="preserve">» — М.: </w:t>
      </w:r>
      <w:proofErr w:type="spellStart"/>
      <w:r w:rsidRPr="00DA50C3">
        <w:rPr>
          <w:rFonts w:ascii="Verdana" w:hAnsi="Verdana" w:cs="Times New Roman"/>
          <w:color w:val="000000"/>
        </w:rPr>
        <w:t>Художественная</w:t>
      </w:r>
      <w:proofErr w:type="spellEnd"/>
      <w:r w:rsidRPr="00DA50C3">
        <w:rPr>
          <w:rFonts w:ascii="Verdana" w:hAnsi="Verdana" w:cs="Times New Roman"/>
          <w:color w:val="000000"/>
        </w:rPr>
        <w:t xml:space="preserve"> </w:t>
      </w:r>
      <w:proofErr w:type="spellStart"/>
      <w:r w:rsidRPr="00DA50C3">
        <w:rPr>
          <w:rFonts w:ascii="Verdana" w:hAnsi="Verdana" w:cs="Times New Roman"/>
          <w:color w:val="000000"/>
        </w:rPr>
        <w:t>литература</w:t>
      </w:r>
      <w:proofErr w:type="spellEnd"/>
      <w:r w:rsidRPr="00DA50C3">
        <w:rPr>
          <w:rFonts w:ascii="Verdana" w:hAnsi="Verdana" w:cs="Times New Roman"/>
          <w:color w:val="000000"/>
        </w:rPr>
        <w:t>, 1973.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Судна вікінгів. Вищим технічним досягненням вікінгів були їх бойові кораблі. Ця тура, що містилася в зразковому порядку, часто з великою любов’ю описувалася в поезії вікінгів і складала предмет їх гордості. Вузький каркас такого судна був дуже зручний для підходу до берега і швидкого проходження по річках і озерах. Легші судна особливо підходили для раптового нападу; їх можна було переносити волоком з однієї річки в іншу, щоб обійти пороги, </w:t>
      </w:r>
      <w:proofErr w:type="spellStart"/>
      <w:r w:rsidRPr="00DA50C3">
        <w:rPr>
          <w:rFonts w:ascii="Verdana" w:hAnsi="Verdana" w:cs="Times New Roman"/>
          <w:color w:val="000000"/>
        </w:rPr>
        <w:t>водопади</w:t>
      </w:r>
      <w:proofErr w:type="spellEnd"/>
      <w:r w:rsidRPr="00DA50C3">
        <w:rPr>
          <w:rFonts w:ascii="Verdana" w:hAnsi="Verdana" w:cs="Times New Roman"/>
          <w:color w:val="000000"/>
        </w:rPr>
        <w:t xml:space="preserve">, дамби і зміцнення. Недолік цих суден полягав в тому, що вони були недостатньо пристосовані для тривалих </w:t>
      </w:r>
      <w:proofErr w:type="spellStart"/>
      <w:r w:rsidRPr="00DA50C3">
        <w:rPr>
          <w:rFonts w:ascii="Verdana" w:hAnsi="Verdana" w:cs="Times New Roman"/>
          <w:color w:val="000000"/>
        </w:rPr>
        <w:t>плавань</w:t>
      </w:r>
      <w:proofErr w:type="spellEnd"/>
      <w:r w:rsidRPr="00DA50C3">
        <w:rPr>
          <w:rFonts w:ascii="Verdana" w:hAnsi="Verdana" w:cs="Times New Roman"/>
          <w:color w:val="000000"/>
        </w:rPr>
        <w:t xml:space="preserve"> у відкритому морі, що компенсувалося навігаційним мистецтвом вікінгів.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Тура вікінгів розрізнялася по числу пар </w:t>
      </w:r>
      <w:proofErr w:type="spellStart"/>
      <w:r w:rsidRPr="00DA50C3">
        <w:rPr>
          <w:rFonts w:ascii="Verdana" w:hAnsi="Verdana" w:cs="Times New Roman"/>
          <w:color w:val="000000"/>
        </w:rPr>
        <w:t>грібних</w:t>
      </w:r>
      <w:proofErr w:type="spellEnd"/>
      <w:r w:rsidRPr="00DA50C3">
        <w:rPr>
          <w:rFonts w:ascii="Verdana" w:hAnsi="Verdana" w:cs="Times New Roman"/>
          <w:color w:val="000000"/>
        </w:rPr>
        <w:t xml:space="preserve"> весел, крупні судна — по числу </w:t>
      </w:r>
      <w:proofErr w:type="spellStart"/>
      <w:r w:rsidRPr="00DA50C3">
        <w:rPr>
          <w:rFonts w:ascii="Verdana" w:hAnsi="Verdana" w:cs="Times New Roman"/>
          <w:color w:val="000000"/>
        </w:rPr>
        <w:t>грібних</w:t>
      </w:r>
      <w:proofErr w:type="spellEnd"/>
      <w:r w:rsidRPr="00DA50C3">
        <w:rPr>
          <w:rFonts w:ascii="Verdana" w:hAnsi="Verdana" w:cs="Times New Roman"/>
          <w:color w:val="000000"/>
        </w:rPr>
        <w:t xml:space="preserve"> лав. 13 пар весел визначали мінімальний розмір бойового судна. Найперші судна були розраховані на 40-80 чоловік кожне, а велике </w:t>
      </w:r>
      <w:proofErr w:type="spellStart"/>
      <w:r w:rsidRPr="00DA50C3">
        <w:rPr>
          <w:rFonts w:ascii="Verdana" w:hAnsi="Verdana" w:cs="Times New Roman"/>
          <w:color w:val="000000"/>
        </w:rPr>
        <w:t>кильове</w:t>
      </w:r>
      <w:proofErr w:type="spellEnd"/>
      <w:r w:rsidRPr="00DA50C3">
        <w:rPr>
          <w:rFonts w:ascii="Verdana" w:hAnsi="Verdana" w:cs="Times New Roman"/>
          <w:color w:val="000000"/>
        </w:rPr>
        <w:t xml:space="preserve"> судно ХІ ст. вміщало декілька сотень чоловік. Такі крупні бойові одиниці перевищували в довжину 46 м.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Судна нерідко будували з дощок, укладених рядами з перекриттям, що скріплювалося зігнутими шпангоутами. Вище за ватерлінію більшість бойових кораблів були яскраво розфарбовані. Різьблені голови драконів, іноді позолочені, прикрашали носи суден. Така ж прикраса могла бути на кормі, а в деяких випадках там красувався хвіст дракона, що звивається. При плаванні у водах Скандинавії ці прикраси звичайно знімалися, щоб не налякати добрих духів. Часто при підході до порту з боків судів вивішувалися в ряд щити, але у відкритому морі цього не допускалося.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Судна вікінгів рухалися за допомогою вітрил і весел. Просте вітрило квадратної форми, зроблене з грубого полотна, часто розмальовувалося в смуги і клітинки. Щоглу можна було укорочувати і навіть взагалі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>знімати. За допомогою майстерних пристосувань капітан міг вести корабель проти вітру. Судна управлялися кермом лопатевої форми, встановленим на кормі з правого борту.</w:t>
      </w:r>
    </w:p>
    <w:p w:rsidR="00DA50C3" w:rsidRPr="00DA50C3" w:rsidRDefault="00DA50C3" w:rsidP="00DA50C3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DA50C3">
        <w:rPr>
          <w:rFonts w:ascii="Verdana" w:hAnsi="Verdana" w:cs="Times New Roman"/>
          <w:color w:val="000000"/>
        </w:rPr>
        <w:t xml:space="preserve">Декілька суден вікінгів, що збереглися, експонуються в музеях </w:t>
      </w:r>
      <w:proofErr w:type="spellStart"/>
      <w:r w:rsidRPr="00DA50C3">
        <w:rPr>
          <w:rFonts w:ascii="Verdana" w:hAnsi="Verdana" w:cs="Times New Roman"/>
          <w:color w:val="000000"/>
        </w:rPr>
        <w:t>скандінавських</w:t>
      </w:r>
      <w:proofErr w:type="spellEnd"/>
      <w:r w:rsidRPr="00DA50C3">
        <w:rPr>
          <w:rFonts w:ascii="Verdana" w:hAnsi="Verdana" w:cs="Times New Roman"/>
          <w:color w:val="000000"/>
        </w:rPr>
        <w:t xml:space="preserve"> країн. Одне з найвідоміших, виявлене в 1880 р. в </w:t>
      </w:r>
      <w:proofErr w:type="spellStart"/>
      <w:r w:rsidRPr="00DA50C3">
        <w:rPr>
          <w:rFonts w:ascii="Verdana" w:hAnsi="Verdana" w:cs="Times New Roman"/>
          <w:color w:val="000000"/>
        </w:rPr>
        <w:t>Гокстаді</w:t>
      </w:r>
      <w:proofErr w:type="spellEnd"/>
      <w:r w:rsidRPr="00DA50C3">
        <w:rPr>
          <w:rFonts w:ascii="Verdana" w:hAnsi="Verdana" w:cs="Times New Roman"/>
          <w:color w:val="000000"/>
        </w:rPr>
        <w:t xml:space="preserve"> (Норвегія), відноситься приблизно до 900 р. н. е. Воно досягає в довжину 23,3 м і в ширину 5,3 м. Судно мало щоглу і 32 весла, на ньому були 32 щити. Місцями збереглися нарядні різьблені прикраси.</w:t>
      </w:r>
    </w:p>
    <w:p w:rsidR="007A0D79" w:rsidRDefault="007A0D79">
      <w:bookmarkStart w:id="16" w:name="_GoBack"/>
      <w:bookmarkEnd w:id="1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0C3"/>
    <w:rsid w:val="007A0D79"/>
    <w:rsid w:val="00DA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0C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A50C3"/>
    <w:rPr>
      <w:b/>
      <w:bCs/>
    </w:rPr>
  </w:style>
  <w:style w:type="character" w:customStyle="1" w:styleId="apple-converted-space">
    <w:name w:val="apple-converted-space"/>
    <w:basedOn w:val="a0"/>
    <w:rsid w:val="00DA50C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0C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A50C3"/>
    <w:rPr>
      <w:b/>
      <w:bCs/>
    </w:rPr>
  </w:style>
  <w:style w:type="character" w:customStyle="1" w:styleId="apple-converted-space">
    <w:name w:val="apple-converted-space"/>
    <w:basedOn w:val="a0"/>
    <w:rsid w:val="00DA5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1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1102</Words>
  <Characters>6283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2015-10-15T10:57:00Z</dcterms:created>
  <dcterms:modified xsi:type="dcterms:W3CDTF">2015-10-15T10:58:00Z</dcterms:modified>
</cp:coreProperties>
</file>