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B7E" w:rsidRPr="00862B7E" w:rsidRDefault="00862B7E" w:rsidP="00862B7E">
      <w:pPr>
        <w:shd w:val="clear" w:color="auto" w:fill="FFFFFF"/>
        <w:spacing w:before="100" w:beforeAutospacing="1" w:after="100" w:afterAutospacing="1"/>
        <w:ind w:firstLine="360"/>
        <w:jc w:val="center"/>
        <w:rPr>
          <w:rFonts w:ascii="Verdana" w:hAnsi="Verdana" w:cs="Times New Roman"/>
          <w:color w:val="000000"/>
        </w:rPr>
      </w:pPr>
      <w:r w:rsidRPr="00862B7E">
        <w:rPr>
          <w:rFonts w:ascii="Verdana" w:hAnsi="Verdana" w:cs="Times New Roman"/>
          <w:b/>
          <w:bCs/>
          <w:color w:val="000000"/>
        </w:rPr>
        <w:t>Урок № 54 (варіант А)</w:t>
      </w:r>
    </w:p>
    <w:p w:rsidR="00862B7E" w:rsidRPr="00862B7E" w:rsidRDefault="00862B7E" w:rsidP="00862B7E">
      <w:pPr>
        <w:shd w:val="clear" w:color="auto" w:fill="FFFFFF"/>
        <w:spacing w:before="100" w:beforeAutospacing="1" w:after="100" w:afterAutospacing="1"/>
        <w:ind w:firstLine="360"/>
        <w:jc w:val="center"/>
        <w:rPr>
          <w:rFonts w:ascii="Verdana" w:hAnsi="Verdana" w:cs="Times New Roman"/>
          <w:color w:val="000000"/>
        </w:rPr>
      </w:pPr>
      <w:r w:rsidRPr="00862B7E">
        <w:rPr>
          <w:rFonts w:ascii="Verdana" w:hAnsi="Verdana" w:cs="Times New Roman"/>
          <w:b/>
          <w:bCs/>
          <w:color w:val="000000"/>
        </w:rPr>
        <w:t>Тема. НАЙБІЛЬШІ РІВНИНИ І ГОРИ ЄВРАЗІЇ. ВІДМІННОСТІ В РЕЛЬЄФІ РІЗНИХ ЧАСТИН МАТЕРИКА. КОРИСНІ КОПАЛИНИ, ОСОБЛИВОСТІ ЇХ ПОХОДЖЕННЯ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Мета: визначити загальні особливості рельєфу Євразії, з’ясувати закономірності поширення основних форм рельєфу територією материка, виявити характерні відмінності рельєфу Європи та Азії, визначити найбільші родовища корисних копалин і закономірності їх залягання на території материка, продовжувати формувати вміння навичок роботи з різними видами карт, підручником, зошитом, розвивати навички зв’язної мови, виховувати повагу до думки інших учнів.</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Тип уроку: комбінований.</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Обладнання: атласи, зошити, слайди для </w:t>
      </w:r>
      <w:proofErr w:type="spellStart"/>
      <w:r w:rsidRPr="00862B7E">
        <w:rPr>
          <w:rFonts w:ascii="Verdana" w:hAnsi="Verdana" w:cs="Times New Roman"/>
          <w:color w:val="000000"/>
        </w:rPr>
        <w:t>мультимедійної</w:t>
      </w:r>
      <w:proofErr w:type="spellEnd"/>
      <w:r w:rsidRPr="00862B7E">
        <w:rPr>
          <w:rFonts w:ascii="Verdana" w:hAnsi="Verdana" w:cs="Times New Roman"/>
          <w:color w:val="000000"/>
        </w:rPr>
        <w:t xml:space="preserve"> дошки із зображенням різноманітних форм рельєфу та ландшафтів Євразії, заповнена таблиця в зошиті, за якою працюють учні, таблички з назвами корисних копалин та їх умовними позначками, набір </w:t>
      </w:r>
      <w:proofErr w:type="spellStart"/>
      <w:r w:rsidRPr="00862B7E">
        <w:rPr>
          <w:rFonts w:ascii="Verdana" w:hAnsi="Verdana" w:cs="Times New Roman"/>
          <w:color w:val="000000"/>
        </w:rPr>
        <w:t>магнитів</w:t>
      </w:r>
      <w:proofErr w:type="spellEnd"/>
      <w:r w:rsidRPr="00862B7E">
        <w:rPr>
          <w:rFonts w:ascii="Verdana" w:hAnsi="Verdana" w:cs="Times New Roman"/>
          <w:color w:val="000000"/>
        </w:rPr>
        <w:t>.</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Опорні та базові поняття: основні форми рельєфу, гори (низькі, середні, високі), рівнини (низовини, височини, плоскогір’я), корисні копалини (магматичного, метаморфічного, осадового походження), паливні, рудні, нерудні корисні копалини.</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Географічна номенклатура: гори: Альпи, </w:t>
      </w:r>
      <w:proofErr w:type="spellStart"/>
      <w:r w:rsidRPr="00862B7E">
        <w:rPr>
          <w:rFonts w:ascii="Verdana" w:hAnsi="Verdana" w:cs="Times New Roman"/>
          <w:color w:val="000000"/>
        </w:rPr>
        <w:t>Піренеї</w:t>
      </w:r>
      <w:proofErr w:type="spellEnd"/>
      <w:r w:rsidRPr="00862B7E">
        <w:rPr>
          <w:rFonts w:ascii="Verdana" w:hAnsi="Verdana" w:cs="Times New Roman"/>
          <w:color w:val="000000"/>
        </w:rPr>
        <w:t xml:space="preserve">, Апенніни, Карпати, Кримські, Скандинавські, Уральські, Кавказ, Тянь-Шань, Гімалаї (г. </w:t>
      </w:r>
      <w:proofErr w:type="spellStart"/>
      <w:r w:rsidRPr="00862B7E">
        <w:rPr>
          <w:rFonts w:ascii="Verdana" w:hAnsi="Verdana" w:cs="Times New Roman"/>
          <w:color w:val="000000"/>
        </w:rPr>
        <w:t>Джомолунґма</w:t>
      </w:r>
      <w:proofErr w:type="spellEnd"/>
      <w:r w:rsidRPr="00862B7E">
        <w:rPr>
          <w:rFonts w:ascii="Verdana" w:hAnsi="Verdana" w:cs="Times New Roman"/>
          <w:color w:val="000000"/>
        </w:rPr>
        <w:t xml:space="preserve">); рівнини: Східноєвропейська, Західносибірська, Велика Китайська низовини: Прикаспійська, </w:t>
      </w:r>
      <w:proofErr w:type="spellStart"/>
      <w:r w:rsidRPr="00862B7E">
        <w:rPr>
          <w:rFonts w:ascii="Verdana" w:hAnsi="Verdana" w:cs="Times New Roman"/>
          <w:color w:val="000000"/>
        </w:rPr>
        <w:t>Індо-Ґанґська</w:t>
      </w:r>
      <w:proofErr w:type="spellEnd"/>
      <w:r w:rsidRPr="00862B7E">
        <w:rPr>
          <w:rFonts w:ascii="Verdana" w:hAnsi="Verdana" w:cs="Times New Roman"/>
          <w:color w:val="000000"/>
        </w:rPr>
        <w:t xml:space="preserve">, Месопотамська Середньоросійська височина; плоскогір’я: Середньосибірське, Декан; нагір’я: </w:t>
      </w:r>
      <w:proofErr w:type="spellStart"/>
      <w:r w:rsidRPr="00862B7E">
        <w:rPr>
          <w:rFonts w:ascii="Verdana" w:hAnsi="Verdana" w:cs="Times New Roman"/>
          <w:color w:val="000000"/>
        </w:rPr>
        <w:t>Тібет</w:t>
      </w:r>
      <w:proofErr w:type="spellEnd"/>
      <w:r w:rsidRPr="00862B7E">
        <w:rPr>
          <w:rFonts w:ascii="Verdana" w:hAnsi="Verdana" w:cs="Times New Roman"/>
          <w:color w:val="000000"/>
        </w:rPr>
        <w:t xml:space="preserve">, Іранське; вулкани: Гекла, Етна, Везувій, Ключевська Сопка, </w:t>
      </w:r>
      <w:proofErr w:type="spellStart"/>
      <w:r w:rsidRPr="00862B7E">
        <w:rPr>
          <w:rFonts w:ascii="Verdana" w:hAnsi="Verdana" w:cs="Times New Roman"/>
          <w:color w:val="000000"/>
        </w:rPr>
        <w:t>Фудзіяма</w:t>
      </w:r>
      <w:proofErr w:type="spellEnd"/>
      <w:r w:rsidRPr="00862B7E">
        <w:rPr>
          <w:rFonts w:ascii="Verdana" w:hAnsi="Verdana" w:cs="Times New Roman"/>
          <w:color w:val="000000"/>
        </w:rPr>
        <w:t xml:space="preserve">, </w:t>
      </w:r>
      <w:proofErr w:type="spellStart"/>
      <w:r w:rsidRPr="00862B7E">
        <w:rPr>
          <w:rFonts w:ascii="Verdana" w:hAnsi="Verdana" w:cs="Times New Roman"/>
          <w:color w:val="000000"/>
        </w:rPr>
        <w:t>Кракатау</w:t>
      </w:r>
      <w:proofErr w:type="spellEnd"/>
      <w:r w:rsidRPr="00862B7E">
        <w:rPr>
          <w:rFonts w:ascii="Verdana" w:hAnsi="Verdana" w:cs="Times New Roman"/>
          <w:color w:val="000000"/>
        </w:rPr>
        <w:t xml:space="preserve">; платформи: Східноєвропейська, Сибірська, </w:t>
      </w:r>
      <w:proofErr w:type="spellStart"/>
      <w:r w:rsidRPr="00862B7E">
        <w:rPr>
          <w:rFonts w:ascii="Verdana" w:hAnsi="Verdana" w:cs="Times New Roman"/>
          <w:color w:val="000000"/>
        </w:rPr>
        <w:t>Тарімська</w:t>
      </w:r>
      <w:proofErr w:type="spellEnd"/>
      <w:r w:rsidRPr="00862B7E">
        <w:rPr>
          <w:rFonts w:ascii="Verdana" w:hAnsi="Verdana" w:cs="Times New Roman"/>
          <w:color w:val="000000"/>
        </w:rPr>
        <w:t xml:space="preserve">, Аравійська, </w:t>
      </w:r>
      <w:proofErr w:type="spellStart"/>
      <w:r w:rsidRPr="00862B7E">
        <w:rPr>
          <w:rFonts w:ascii="Verdana" w:hAnsi="Verdana" w:cs="Times New Roman"/>
          <w:color w:val="000000"/>
        </w:rPr>
        <w:t>Індостанська</w:t>
      </w:r>
      <w:proofErr w:type="spellEnd"/>
      <w:r w:rsidRPr="00862B7E">
        <w:rPr>
          <w:rFonts w:ascii="Verdana" w:hAnsi="Verdana" w:cs="Times New Roman"/>
          <w:color w:val="000000"/>
        </w:rPr>
        <w:t xml:space="preserve">, Західносибірська, </w:t>
      </w:r>
      <w:proofErr w:type="spellStart"/>
      <w:r w:rsidRPr="00862B7E">
        <w:rPr>
          <w:rFonts w:ascii="Verdana" w:hAnsi="Verdana" w:cs="Times New Roman"/>
          <w:color w:val="000000"/>
        </w:rPr>
        <w:t>Туранська</w:t>
      </w:r>
      <w:proofErr w:type="spellEnd"/>
      <w:r w:rsidRPr="00862B7E">
        <w:rPr>
          <w:rFonts w:ascii="Verdana" w:hAnsi="Verdana" w:cs="Times New Roman"/>
          <w:color w:val="000000"/>
        </w:rPr>
        <w:t xml:space="preserve">; геосинклінальні пояси: </w:t>
      </w:r>
      <w:proofErr w:type="spellStart"/>
      <w:r w:rsidRPr="00862B7E">
        <w:rPr>
          <w:rFonts w:ascii="Verdana" w:hAnsi="Verdana" w:cs="Times New Roman"/>
          <w:color w:val="000000"/>
        </w:rPr>
        <w:t>Альпійсько-Гімалайський</w:t>
      </w:r>
      <w:proofErr w:type="spellEnd"/>
      <w:r w:rsidRPr="00862B7E">
        <w:rPr>
          <w:rFonts w:ascii="Verdana" w:hAnsi="Verdana" w:cs="Times New Roman"/>
          <w:color w:val="000000"/>
        </w:rPr>
        <w:t>, Тихоокеанське «Вогняне кільце», щити: Балтійський, Український.</w:t>
      </w:r>
    </w:p>
    <w:p w:rsidR="00862B7E" w:rsidRPr="00862B7E" w:rsidRDefault="00862B7E" w:rsidP="00862B7E">
      <w:pPr>
        <w:shd w:val="clear" w:color="auto" w:fill="FFFFFF"/>
        <w:spacing w:before="100" w:beforeAutospacing="1" w:after="100" w:afterAutospacing="1"/>
        <w:ind w:firstLine="360"/>
        <w:jc w:val="center"/>
        <w:rPr>
          <w:rFonts w:ascii="Verdana" w:hAnsi="Verdana" w:cs="Times New Roman"/>
          <w:color w:val="000000"/>
        </w:rPr>
      </w:pPr>
      <w:bookmarkStart w:id="0" w:name="bookmark532"/>
      <w:r w:rsidRPr="00862B7E">
        <w:rPr>
          <w:rFonts w:ascii="Calibri" w:hAnsi="Calibri" w:cs="Times New Roman"/>
          <w:color w:val="000000"/>
        </w:rPr>
        <w:t>ЗМІСТ УРОКУ</w:t>
      </w:r>
      <w:bookmarkEnd w:id="0"/>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I. Організаційний момент</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Показ зображень форм рельєфу Євразії. Визначення учнями за допомогою вчителя мети і завдань відповідно до теми уроку.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1" w:name="bookmark533"/>
      <w:r w:rsidRPr="00862B7E">
        <w:rPr>
          <w:rFonts w:ascii="Calibri" w:hAnsi="Calibri" w:cs="Times New Roman"/>
          <w:color w:val="000000"/>
        </w:rPr>
        <w:t> </w:t>
      </w:r>
      <w:bookmarkEnd w:id="1"/>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II. Актуалізація опорних знань і </w:t>
      </w:r>
      <w:proofErr w:type="spellStart"/>
      <w:r w:rsidRPr="00862B7E">
        <w:rPr>
          <w:rFonts w:ascii="Verdana" w:hAnsi="Verdana" w:cs="Times New Roman"/>
          <w:color w:val="000000"/>
        </w:rPr>
        <w:t>вмінь</w:t>
      </w:r>
      <w:proofErr w:type="spellEnd"/>
      <w:r w:rsidRPr="00862B7E">
        <w:rPr>
          <w:rFonts w:ascii="Verdana" w:hAnsi="Verdana" w:cs="Times New Roman"/>
          <w:color w:val="000000"/>
        </w:rPr>
        <w:t xml:space="preserve"> учнів</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2" w:name="bookmark534"/>
      <w:r w:rsidRPr="00862B7E">
        <w:rPr>
          <w:rFonts w:ascii="Calibri" w:hAnsi="Calibri" w:cs="Times New Roman"/>
          <w:color w:val="000000"/>
        </w:rPr>
        <w:lastRenderedPageBreak/>
        <w:t>1). Прийом «Мозковий штурм»</w:t>
      </w:r>
      <w:bookmarkEnd w:id="2"/>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Визначення основних видів корисних копалин за їх походженням (магматичні, метаморфічні, осадові) та використанням у господарській діяльності людини (паливні, рудні, нерудні корисні копалини). Відбір умовних позначок. Прикріплення їх на дошці в таблицю:</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37"/>
        <w:gridCol w:w="1064"/>
        <w:gridCol w:w="1450"/>
        <w:gridCol w:w="1064"/>
        <w:gridCol w:w="1450"/>
        <w:gridCol w:w="1064"/>
        <w:gridCol w:w="1450"/>
      </w:tblGrid>
      <w:tr w:rsidR="00862B7E" w:rsidRPr="00862B7E" w:rsidTr="00862B7E">
        <w:trPr>
          <w:tblCellSpacing w:w="0" w:type="dxa"/>
        </w:trPr>
        <w:tc>
          <w:tcPr>
            <w:tcW w:w="9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Вид копалин</w:t>
            </w:r>
          </w:p>
        </w:tc>
        <w:tc>
          <w:tcPr>
            <w:tcW w:w="1300"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Паливні</w:t>
            </w:r>
          </w:p>
        </w:tc>
        <w:tc>
          <w:tcPr>
            <w:tcW w:w="1300"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Рудні</w:t>
            </w:r>
          </w:p>
        </w:tc>
        <w:tc>
          <w:tcPr>
            <w:tcW w:w="1300"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Нерудні</w:t>
            </w:r>
          </w:p>
        </w:tc>
      </w:tr>
      <w:tr w:rsidR="00862B7E" w:rsidRPr="00862B7E" w:rsidTr="00862B7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rPr>
                <w:rFonts w:ascii="Verdana" w:hAnsi="Verdana" w:cs="Times New Roman"/>
                <w:color w:val="000000"/>
              </w:rPr>
            </w:pP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Назва</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Умовна позначка</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Назва</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Умовна позначка</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Назва</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62B7E" w:rsidRPr="00862B7E" w:rsidRDefault="00862B7E" w:rsidP="00862B7E">
            <w:pPr>
              <w:spacing w:before="100" w:beforeAutospacing="1" w:after="100" w:afterAutospacing="1"/>
              <w:ind w:firstLine="360"/>
              <w:jc w:val="center"/>
              <w:rPr>
                <w:rFonts w:ascii="Verdana" w:hAnsi="Verdana" w:cs="Times New Roman"/>
                <w:color w:val="000000"/>
              </w:rPr>
            </w:pPr>
            <w:r w:rsidRPr="00862B7E">
              <w:rPr>
                <w:rFonts w:ascii="Verdana" w:hAnsi="Verdana" w:cs="Times New Roman"/>
                <w:color w:val="000000"/>
              </w:rPr>
              <w:t>Умовна позначка</w:t>
            </w:r>
          </w:p>
        </w:tc>
      </w:tr>
      <w:tr w:rsidR="00862B7E" w:rsidRPr="00862B7E" w:rsidTr="00862B7E">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Осадові</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r>
      <w:tr w:rsidR="00862B7E" w:rsidRPr="00862B7E" w:rsidTr="00862B7E">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Магматичні</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r>
      <w:tr w:rsidR="00862B7E" w:rsidRPr="00862B7E" w:rsidTr="00862B7E">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Метаморфічні</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862B7E" w:rsidRPr="00862B7E" w:rsidRDefault="00862B7E" w:rsidP="00862B7E">
            <w:pPr>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tc>
      </w:tr>
    </w:tbl>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3" w:name="bookmark535"/>
      <w:r w:rsidRPr="00862B7E">
        <w:rPr>
          <w:rFonts w:ascii="Calibri" w:hAnsi="Calibri" w:cs="Times New Roman"/>
          <w:color w:val="000000"/>
        </w:rPr>
        <w:t> </w:t>
      </w:r>
      <w:bookmarkEnd w:id="3"/>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2). Прийом «Естафета»</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Кожен учень класу по черзі з першої парти до останньої додає одне речення відповіді на запитання: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1. Пригадайте з попереднього матеріалу визначення основних форм рельєфу.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2. Назвіть принципи їх позначення на карті.</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3. Назвіть групи корисних копалин за способом їх утворення.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4. Визначте зв’язок між тектонікою та рельєфом.</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4" w:name="bookmark536"/>
      <w:r w:rsidRPr="00862B7E">
        <w:rPr>
          <w:rFonts w:ascii="Calibri" w:hAnsi="Calibri" w:cs="Times New Roman"/>
          <w:color w:val="000000"/>
        </w:rPr>
        <w:t>3). Прийом «Дерево рішень»</w:t>
      </w:r>
      <w:bookmarkEnd w:id="4"/>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На виготовленій на великому аркуші паперу схемі в пусті місця для термінів і понять кожна група прикріплює слова (рівнина, височина, гори, хребет, нагір’я, платформа, плита, щит, низовина та ін.).</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5" w:name="bookmark537"/>
      <w:r w:rsidRPr="00862B7E">
        <w:rPr>
          <w:rFonts w:ascii="Calibri" w:hAnsi="Calibri" w:cs="Times New Roman"/>
          <w:color w:val="000000"/>
        </w:rPr>
        <w:t> </w:t>
      </w:r>
      <w:bookmarkEnd w:id="5"/>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ІІІ. Мотивація навчальної та пізнавальної діяльності учнів</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Прийом «Проблемне питання»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Усі компоненти природи </w:t>
      </w:r>
      <w:proofErr w:type="spellStart"/>
      <w:r w:rsidRPr="00862B7E">
        <w:rPr>
          <w:rFonts w:ascii="Verdana" w:hAnsi="Verdana" w:cs="Times New Roman"/>
          <w:color w:val="000000"/>
        </w:rPr>
        <w:t>взаємопов’язані</w:t>
      </w:r>
      <w:proofErr w:type="spellEnd"/>
      <w:r w:rsidRPr="00862B7E">
        <w:rPr>
          <w:rFonts w:ascii="Verdana" w:hAnsi="Verdana" w:cs="Times New Roman"/>
          <w:color w:val="000000"/>
        </w:rPr>
        <w:t>, навіть якщо на перший погляд здається, що зв’язку не існує. Отже, необхідно вивчати рельєф материка, щоб побачити причини прояву інших природних явищ, таких, як, наприклад, особливості клімату, закономірності розміщення природних зон, розташування басейнів річок, розвиток та розміщення галузей господарства, знайти відповідь на запитання: чому великі площі материка Євразія зайняті континентальним типом клімату, чому велика кількість річок материка несе свої води в Північний Льодовитий океан? Та на багато інших. Отож, спробуймо знайти відповіді на ці та інші запитання.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6" w:name="bookmark538"/>
      <w:r w:rsidRPr="00862B7E">
        <w:rPr>
          <w:rFonts w:ascii="Calibri" w:hAnsi="Calibri" w:cs="Times New Roman"/>
          <w:color w:val="000000"/>
        </w:rPr>
        <w:t> </w:t>
      </w:r>
      <w:bookmarkEnd w:id="6"/>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lang w:val="en-US"/>
        </w:rPr>
        <w:t>IV</w:t>
      </w:r>
      <w:r w:rsidRPr="00862B7E">
        <w:rPr>
          <w:rFonts w:ascii="Verdana" w:hAnsi="Verdana" w:cs="Times New Roman"/>
          <w:color w:val="000000"/>
          <w:lang w:val="uz-Cyrl-UZ"/>
        </w:rPr>
        <w:t>. В</w:t>
      </w:r>
      <w:proofErr w:type="spellStart"/>
      <w:r w:rsidRPr="00862B7E">
        <w:rPr>
          <w:rFonts w:ascii="Verdana" w:hAnsi="Verdana" w:cs="Times New Roman"/>
          <w:color w:val="000000"/>
        </w:rPr>
        <w:t>ивчення</w:t>
      </w:r>
      <w:proofErr w:type="spellEnd"/>
      <w:r w:rsidRPr="00862B7E">
        <w:rPr>
          <w:rFonts w:ascii="Verdana" w:hAnsi="Verdana" w:cs="Times New Roman"/>
          <w:color w:val="000000"/>
        </w:rPr>
        <w:t xml:space="preserve"> нового матеріалу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7" w:name="bookmark539"/>
      <w:r w:rsidRPr="00862B7E">
        <w:rPr>
          <w:rFonts w:ascii="Calibri" w:hAnsi="Calibri" w:cs="Times New Roman"/>
          <w:color w:val="000000"/>
        </w:rPr>
        <w:t>1.  Прийом «Творча лабораторія»</w:t>
      </w:r>
      <w:bookmarkEnd w:id="7"/>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Завдання 1. Проаналізуйте карти атласу та визначте загальні закономірності розподілу основних форм рельєфу по територій Європи та Азії (в Європі гори займають 17 % території, а в Азії 75 %).</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Завдання 2. Порівняйте </w:t>
      </w:r>
      <w:proofErr w:type="spellStart"/>
      <w:r w:rsidRPr="00862B7E">
        <w:rPr>
          <w:rFonts w:ascii="Verdana" w:hAnsi="Verdana" w:cs="Times New Roman"/>
          <w:color w:val="000000"/>
        </w:rPr>
        <w:t>загальногеографічну</w:t>
      </w:r>
      <w:proofErr w:type="spellEnd"/>
      <w:r w:rsidRPr="00862B7E">
        <w:rPr>
          <w:rFonts w:ascii="Verdana" w:hAnsi="Verdana" w:cs="Times New Roman"/>
          <w:color w:val="000000"/>
        </w:rPr>
        <w:t xml:space="preserve"> і тектонічну карти, зробіть висновок про причини </w:t>
      </w:r>
      <w:proofErr w:type="spellStart"/>
      <w:r w:rsidRPr="00862B7E">
        <w:rPr>
          <w:rFonts w:ascii="Verdana" w:hAnsi="Verdana" w:cs="Times New Roman"/>
          <w:color w:val="000000"/>
        </w:rPr>
        <w:t>відмінностей</w:t>
      </w:r>
      <w:proofErr w:type="spellEnd"/>
      <w:r w:rsidRPr="00862B7E">
        <w:rPr>
          <w:rFonts w:ascii="Verdana" w:hAnsi="Verdana" w:cs="Times New Roman"/>
          <w:color w:val="000000"/>
        </w:rPr>
        <w:t xml:space="preserve"> у розподілі основних форм рельєфу.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Завдання 3. Визначте найбільші об’єкти рельєфу.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8" w:name="bookmark540"/>
      <w:r w:rsidRPr="00862B7E">
        <w:rPr>
          <w:rFonts w:ascii="Calibri" w:hAnsi="Calibri" w:cs="Times New Roman"/>
          <w:color w:val="000000"/>
        </w:rPr>
        <w:t>2. Прийом «Аукціон»</w:t>
      </w:r>
      <w:bookmarkEnd w:id="8"/>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Учні по черзі називають різні форми рельєфу материка, показують їх на фізичній карті та одним реченням дають їх характеристику.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9" w:name="bookmark541"/>
      <w:r w:rsidRPr="00862B7E">
        <w:rPr>
          <w:rFonts w:ascii="Calibri" w:hAnsi="Calibri" w:cs="Times New Roman"/>
          <w:color w:val="000000"/>
        </w:rPr>
        <w:t>3. Прийом «Картографічна лабораторія»</w:t>
      </w:r>
      <w:bookmarkEnd w:id="9"/>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Завдання. Позначте та підпишіть в контурній карті основні форми рельєфу материка (робота закінчується вдома).</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10" w:name="bookmark542"/>
      <w:r w:rsidRPr="00862B7E">
        <w:rPr>
          <w:rFonts w:ascii="Calibri" w:hAnsi="Calibri" w:cs="Times New Roman"/>
          <w:color w:val="000000"/>
        </w:rPr>
        <w:t>4. Прийом «Дерево рішень»</w:t>
      </w:r>
      <w:bookmarkEnd w:id="10"/>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На схему, з якою працювали на початку уроку, учні прикріплюють таблички з написами найбільших родовищ корисних копалин.</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11" w:name="bookmark543"/>
      <w:r w:rsidRPr="00862B7E">
        <w:rPr>
          <w:rFonts w:ascii="Calibri" w:hAnsi="Calibri" w:cs="Times New Roman"/>
          <w:color w:val="000000"/>
        </w:rPr>
        <w:t> </w:t>
      </w:r>
      <w:bookmarkEnd w:id="11"/>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V. Закріплення вивченого матеріалу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Прийом «географічна лабораторія»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Завдання. Завершити заповнення таблиці, розпочатої на попередніх уроках (див. урок № 53 (варіант А)).</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12" w:name="bookmark544"/>
      <w:r w:rsidRPr="00862B7E">
        <w:rPr>
          <w:rFonts w:ascii="Calibri" w:hAnsi="Calibri" w:cs="Times New Roman"/>
          <w:color w:val="000000"/>
        </w:rPr>
        <w:t> </w:t>
      </w:r>
      <w:bookmarkEnd w:id="12"/>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lang w:val="en-US"/>
        </w:rPr>
        <w:t>V</w:t>
      </w:r>
      <w:r w:rsidRPr="00862B7E">
        <w:rPr>
          <w:rFonts w:ascii="Verdana" w:hAnsi="Verdana" w:cs="Times New Roman"/>
          <w:color w:val="000000"/>
        </w:rPr>
        <w:t>І. Підсумок уроку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13" w:name="bookmark545"/>
      <w:r w:rsidRPr="00862B7E">
        <w:rPr>
          <w:rFonts w:ascii="Calibri" w:hAnsi="Calibri" w:cs="Times New Roman"/>
          <w:color w:val="000000"/>
        </w:rPr>
        <w:t>1. Прийом «Власні приклади»</w:t>
      </w:r>
      <w:bookmarkEnd w:id="13"/>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Учні розповідають про рельєф материка (випереджувальне домашнє завдання).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bookmarkStart w:id="14" w:name="bookmark546"/>
      <w:r w:rsidRPr="00862B7E">
        <w:rPr>
          <w:rFonts w:ascii="Calibri" w:hAnsi="Calibri" w:cs="Times New Roman"/>
          <w:color w:val="000000"/>
        </w:rPr>
        <w:t>2. Прийом «роблю висновок»</w:t>
      </w:r>
      <w:bookmarkEnd w:id="14"/>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Опускання та піднімання в Європі відбуваються в різних місцях, але без різких поштовхів і землетрусів. Наприклад, повільно опускаються південні береги Північного моря. У Нідерландах берег опускається приблизно на 3 м за століття, і значна частина цієї країни лежить нижче рівня моря. Тому в Нідерландах і в північно-західній Німеччині споруджені великі греблі для захисту низьких берегів від затоплення морем. Навпаки, береги північної Скандинавії і Фінляндії піднімаються біля Ботнічної затоки приблизно на 1 м за століття.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 Діяльність підземних сил у межах Азії дуже активна. Про це свідчать часті землетруси та численні діючі вулкани. Для землеробства поверхня Азії мало придатна. Тут багато кам’янистих площ, скупчень гір, крутих схилів, уступів, ущелин. Багато є високих областей, де землеробство зовсім неможливе. Центральні її частини відокремлені високими хребтами від узбережжя, а це утруднює сполучення і робить клімат внутрішніх областей сухим. Та все ж низовини займають чверть Азії і загальною своєю площею перевищують Європу. Особливо придатні для землеробства низовини </w:t>
      </w:r>
      <w:proofErr w:type="spellStart"/>
      <w:r w:rsidRPr="00862B7E">
        <w:rPr>
          <w:rFonts w:ascii="Verdana" w:hAnsi="Verdana" w:cs="Times New Roman"/>
          <w:color w:val="000000"/>
        </w:rPr>
        <w:t>Індо-Ґанґська</w:t>
      </w:r>
      <w:proofErr w:type="spellEnd"/>
      <w:r w:rsidRPr="00862B7E">
        <w:rPr>
          <w:rFonts w:ascii="Verdana" w:hAnsi="Verdana" w:cs="Times New Roman"/>
          <w:color w:val="000000"/>
        </w:rPr>
        <w:t xml:space="preserve"> та Велика Китайська.</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lang w:val="en-US"/>
        </w:rPr>
        <w:t>V</w:t>
      </w:r>
      <w:r w:rsidRPr="00862B7E">
        <w:rPr>
          <w:rFonts w:ascii="Verdana" w:hAnsi="Verdana" w:cs="Times New Roman"/>
          <w:color w:val="000000"/>
        </w:rPr>
        <w:t>ІІ</w:t>
      </w:r>
      <w:r w:rsidRPr="00862B7E">
        <w:rPr>
          <w:rFonts w:ascii="Verdana" w:hAnsi="Verdana" w:cs="Times New Roman"/>
          <w:color w:val="000000"/>
          <w:lang w:val="uz-Cyrl-UZ"/>
        </w:rPr>
        <w:t>. </w:t>
      </w:r>
      <w:r w:rsidRPr="00862B7E">
        <w:rPr>
          <w:rFonts w:ascii="Verdana" w:hAnsi="Verdana" w:cs="Times New Roman"/>
          <w:color w:val="000000"/>
        </w:rPr>
        <w:t>Домашнє завдання</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Опрацювати відповідний текст підручника.</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Закінчити нанесення на контурну карту основних форми рельєфу материка Євразія, завершити оформлення таблиці.</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Додатковий матеріал до уроку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 Найвища вершина світу має три назви. Одна з них — Еверест, була дана на честь британського полковника Дж. </w:t>
      </w:r>
      <w:proofErr w:type="spellStart"/>
      <w:r w:rsidRPr="00862B7E">
        <w:rPr>
          <w:rFonts w:ascii="Verdana" w:hAnsi="Verdana" w:cs="Times New Roman"/>
          <w:color w:val="000000"/>
        </w:rPr>
        <w:t>Евереста</w:t>
      </w:r>
      <w:proofErr w:type="spellEnd"/>
      <w:r w:rsidRPr="00862B7E">
        <w:rPr>
          <w:rFonts w:ascii="Verdana" w:hAnsi="Verdana" w:cs="Times New Roman"/>
          <w:color w:val="000000"/>
        </w:rPr>
        <w:t xml:space="preserve">. Місцеві ж назви значно </w:t>
      </w:r>
      <w:proofErr w:type="spellStart"/>
      <w:r w:rsidRPr="00862B7E">
        <w:rPr>
          <w:rFonts w:ascii="Verdana" w:hAnsi="Verdana" w:cs="Times New Roman"/>
          <w:color w:val="000000"/>
        </w:rPr>
        <w:t>поетичніші</w:t>
      </w:r>
      <w:proofErr w:type="spellEnd"/>
      <w:r w:rsidRPr="00862B7E">
        <w:rPr>
          <w:rFonts w:ascii="Verdana" w:hAnsi="Verdana" w:cs="Times New Roman"/>
          <w:color w:val="000000"/>
        </w:rPr>
        <w:t xml:space="preserve">. </w:t>
      </w:r>
      <w:proofErr w:type="spellStart"/>
      <w:r w:rsidRPr="00862B7E">
        <w:rPr>
          <w:rFonts w:ascii="Verdana" w:hAnsi="Verdana" w:cs="Times New Roman"/>
          <w:color w:val="000000"/>
        </w:rPr>
        <w:t>Джомолунґма</w:t>
      </w:r>
      <w:proofErr w:type="spellEnd"/>
      <w:r w:rsidRPr="00862B7E">
        <w:rPr>
          <w:rFonts w:ascii="Verdana" w:hAnsi="Verdana" w:cs="Times New Roman"/>
          <w:color w:val="000000"/>
        </w:rPr>
        <w:t xml:space="preserve"> в перекладі з індійської означає «Мати богів Землі».</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 Масив Монблан приваблює численних альпіністів. Треба відмітити, що вперше на Монблан піднявся швейцарський селянин Жак </w:t>
      </w:r>
      <w:proofErr w:type="spellStart"/>
      <w:r w:rsidRPr="00862B7E">
        <w:rPr>
          <w:rFonts w:ascii="Verdana" w:hAnsi="Verdana" w:cs="Times New Roman"/>
          <w:color w:val="000000"/>
        </w:rPr>
        <w:t>Бальма</w:t>
      </w:r>
      <w:proofErr w:type="spellEnd"/>
      <w:r w:rsidRPr="00862B7E">
        <w:rPr>
          <w:rFonts w:ascii="Verdana" w:hAnsi="Verdana" w:cs="Times New Roman"/>
          <w:color w:val="000000"/>
        </w:rPr>
        <w:t xml:space="preserve"> 7 серпня 1786 року. Тепер цю дату вважають початком світового альпінізму.</w:t>
      </w:r>
    </w:p>
    <w:p w:rsidR="00862B7E" w:rsidRPr="00862B7E" w:rsidRDefault="00862B7E" w:rsidP="00862B7E">
      <w:pPr>
        <w:shd w:val="clear" w:color="auto" w:fill="FFFFFF"/>
        <w:spacing w:before="100" w:beforeAutospacing="1" w:after="100" w:afterAutospacing="1"/>
        <w:ind w:firstLine="360"/>
        <w:jc w:val="both"/>
        <w:rPr>
          <w:rFonts w:ascii="Verdana" w:hAnsi="Verdana" w:cs="Times New Roman"/>
          <w:color w:val="000000"/>
        </w:rPr>
      </w:pPr>
      <w:r w:rsidRPr="00862B7E">
        <w:rPr>
          <w:rFonts w:ascii="Verdana" w:hAnsi="Verdana" w:cs="Times New Roman"/>
          <w:color w:val="000000"/>
        </w:rPr>
        <w:t xml:space="preserve">• Найбільше і найвище нагір’я земної кулі — </w:t>
      </w:r>
      <w:proofErr w:type="spellStart"/>
      <w:r w:rsidRPr="00862B7E">
        <w:rPr>
          <w:rFonts w:ascii="Verdana" w:hAnsi="Verdana" w:cs="Times New Roman"/>
          <w:color w:val="000000"/>
        </w:rPr>
        <w:t>Тібет</w:t>
      </w:r>
      <w:proofErr w:type="spellEnd"/>
      <w:r w:rsidRPr="00862B7E">
        <w:rPr>
          <w:rFonts w:ascii="Verdana" w:hAnsi="Verdana" w:cs="Times New Roman"/>
          <w:color w:val="000000"/>
        </w:rPr>
        <w:t xml:space="preserve">. Там практично немає рослинності, тому місцевість виглядає як пустеля. Але саме тут беруть свій початок такі великі річки Азії, як Брахмапутра, Інд, </w:t>
      </w:r>
      <w:proofErr w:type="spellStart"/>
      <w:r w:rsidRPr="00862B7E">
        <w:rPr>
          <w:rFonts w:ascii="Verdana" w:hAnsi="Verdana" w:cs="Times New Roman"/>
          <w:color w:val="000000"/>
        </w:rPr>
        <w:t>Меконґ</w:t>
      </w:r>
      <w:proofErr w:type="spellEnd"/>
      <w:r w:rsidRPr="00862B7E">
        <w:rPr>
          <w:rFonts w:ascii="Verdana" w:hAnsi="Verdana" w:cs="Times New Roman"/>
          <w:color w:val="000000"/>
        </w:rPr>
        <w:t xml:space="preserve">, Хуанхе та </w:t>
      </w:r>
      <w:proofErr w:type="spellStart"/>
      <w:r w:rsidRPr="00862B7E">
        <w:rPr>
          <w:rFonts w:ascii="Verdana" w:hAnsi="Verdana" w:cs="Times New Roman"/>
          <w:color w:val="000000"/>
        </w:rPr>
        <w:t>Янцзи</w:t>
      </w:r>
      <w:proofErr w:type="spellEnd"/>
      <w:r w:rsidRPr="00862B7E">
        <w:rPr>
          <w:rFonts w:ascii="Verdana" w:hAnsi="Verdana" w:cs="Times New Roman"/>
          <w:color w:val="000000"/>
        </w:rPr>
        <w:t>. Окрім того, нагір’я дуже багате озерами. Тут є навіть гейзери і гарячі джерела.</w:t>
      </w:r>
    </w:p>
    <w:p w:rsidR="007A0D79" w:rsidRDefault="007A0D79">
      <w:bookmarkStart w:id="15" w:name="_GoBack"/>
      <w:bookmarkEnd w:id="15"/>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B7E"/>
    <w:rsid w:val="007A0D79"/>
    <w:rsid w:val="00862B7E"/>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2B7E"/>
    <w:pPr>
      <w:spacing w:before="100" w:beforeAutospacing="1" w:after="100" w:afterAutospacing="1"/>
    </w:pPr>
    <w:rPr>
      <w:rFonts w:ascii="Times" w:hAnsi="Times" w:cs="Times New Roman"/>
      <w:sz w:val="20"/>
      <w:szCs w:val="20"/>
    </w:rPr>
  </w:style>
  <w:style w:type="character" w:styleId="a4">
    <w:name w:val="Strong"/>
    <w:basedOn w:val="a0"/>
    <w:uiPriority w:val="22"/>
    <w:qFormat/>
    <w:rsid w:val="00862B7E"/>
    <w:rPr>
      <w:b/>
      <w:bCs/>
    </w:rPr>
  </w:style>
  <w:style w:type="character" w:customStyle="1" w:styleId="apple-converted-space">
    <w:name w:val="apple-converted-space"/>
    <w:basedOn w:val="a0"/>
    <w:rsid w:val="00862B7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2B7E"/>
    <w:pPr>
      <w:spacing w:before="100" w:beforeAutospacing="1" w:after="100" w:afterAutospacing="1"/>
    </w:pPr>
    <w:rPr>
      <w:rFonts w:ascii="Times" w:hAnsi="Times" w:cs="Times New Roman"/>
      <w:sz w:val="20"/>
      <w:szCs w:val="20"/>
    </w:rPr>
  </w:style>
  <w:style w:type="character" w:styleId="a4">
    <w:name w:val="Strong"/>
    <w:basedOn w:val="a0"/>
    <w:uiPriority w:val="22"/>
    <w:qFormat/>
    <w:rsid w:val="00862B7E"/>
    <w:rPr>
      <w:b/>
      <w:bCs/>
    </w:rPr>
  </w:style>
  <w:style w:type="character" w:customStyle="1" w:styleId="apple-converted-space">
    <w:name w:val="apple-converted-space"/>
    <w:basedOn w:val="a0"/>
    <w:rsid w:val="00862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0309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5923</Characters>
  <Application>Microsoft Macintosh Word</Application>
  <DocSecurity>0</DocSecurity>
  <Lines>49</Lines>
  <Paragraphs>13</Paragraphs>
  <ScaleCrop>false</ScaleCrop>
  <Company>CRVGP-F9DFF-YCR4X-D9GMM-9GQYB</Company>
  <LinksUpToDate>false</LinksUpToDate>
  <CharactersWithSpaces>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2015-10-15T11:12:00Z</dcterms:created>
  <dcterms:modified xsi:type="dcterms:W3CDTF">2015-10-15T11:12:00Z</dcterms:modified>
</cp:coreProperties>
</file>